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C6" w:rsidRPr="00574A50" w:rsidRDefault="000E52A0">
      <w:r w:rsidRPr="00574A50">
        <w:rPr>
          <w:rFonts w:hint="eastAsia"/>
        </w:rPr>
        <w:t>多国籍企業のグローバル・バリュー・チェーン統括戦略：非出資型国際生産による外部化の視点から</w:t>
      </w:r>
    </w:p>
    <w:p w:rsidR="000E52A0" w:rsidRPr="00574A50" w:rsidRDefault="000E52A0"/>
    <w:p w:rsidR="000E52A0" w:rsidRPr="00574A50" w:rsidRDefault="000E52A0" w:rsidP="000E52A0">
      <w:pPr>
        <w:jc w:val="right"/>
      </w:pPr>
      <w:r w:rsidRPr="00574A50">
        <w:rPr>
          <w:rFonts w:hint="eastAsia"/>
        </w:rPr>
        <w:t>慶應義塾大学　井口知栄</w:t>
      </w:r>
    </w:p>
    <w:p w:rsidR="000E6405" w:rsidRPr="00574A50" w:rsidRDefault="000E6405" w:rsidP="00F11513">
      <w:pPr>
        <w:ind w:firstLineChars="100" w:firstLine="210"/>
        <w:rPr>
          <w:rFonts w:ascii="Times New Roman" w:hAnsi="Times New Roman" w:cs="Times New Roman" w:hint="eastAsia"/>
          <w:szCs w:val="21"/>
        </w:rPr>
      </w:pPr>
    </w:p>
    <w:p w:rsidR="000E6405" w:rsidRPr="00574A50" w:rsidRDefault="00F11513" w:rsidP="00F11513">
      <w:pPr>
        <w:ind w:firstLineChars="100" w:firstLine="210"/>
        <w:rPr>
          <w:rFonts w:ascii="Times New Roman" w:hAnsi="Times New Roman" w:cs="Times New Roman" w:hint="eastAsia"/>
          <w:szCs w:val="21"/>
        </w:rPr>
      </w:pPr>
      <w:r w:rsidRPr="00574A50">
        <w:rPr>
          <w:rFonts w:ascii="Times New Roman" w:hAnsi="Times New Roman" w:cs="Times New Roman" w:hint="eastAsia"/>
          <w:szCs w:val="21"/>
        </w:rPr>
        <w:t>多国籍企業が海外進出をする際のエントリーモードを選ぶ際に、自国からの貿易ではなく国際生産を選択する場合、海外直接投資によって海外子会社を設立したり、ホスト国企業を買収したり、合弁会社を設立したりすることにより、財またはサービスを</w:t>
      </w:r>
      <w:r w:rsidR="00665190" w:rsidRPr="00574A50">
        <w:rPr>
          <w:rFonts w:ascii="Times New Roman" w:hAnsi="Times New Roman" w:cs="Times New Roman" w:hint="eastAsia"/>
          <w:szCs w:val="21"/>
        </w:rPr>
        <w:t>国境を越えた</w:t>
      </w:r>
      <w:r w:rsidRPr="00574A50">
        <w:rPr>
          <w:rFonts w:ascii="Times New Roman" w:hAnsi="Times New Roman" w:cs="Times New Roman" w:hint="eastAsia"/>
          <w:szCs w:val="21"/>
        </w:rPr>
        <w:t>ホスト国</w:t>
      </w:r>
      <w:r w:rsidR="00665190" w:rsidRPr="00574A50">
        <w:rPr>
          <w:rFonts w:ascii="Times New Roman" w:hAnsi="Times New Roman" w:cs="Times New Roman" w:hint="eastAsia"/>
          <w:szCs w:val="21"/>
        </w:rPr>
        <w:t>を含む近隣諸国</w:t>
      </w:r>
      <w:r w:rsidRPr="00574A50">
        <w:rPr>
          <w:rFonts w:ascii="Times New Roman" w:hAnsi="Times New Roman" w:cs="Times New Roman" w:hint="eastAsia"/>
          <w:szCs w:val="21"/>
        </w:rPr>
        <w:t>などに提供する。</w:t>
      </w:r>
      <w:r w:rsidR="00665190" w:rsidRPr="00574A50">
        <w:rPr>
          <w:rFonts w:ascii="Times New Roman" w:hAnsi="Times New Roman" w:cs="Times New Roman" w:hint="eastAsia"/>
          <w:szCs w:val="21"/>
        </w:rPr>
        <w:t>いずれの場合</w:t>
      </w:r>
      <w:r w:rsidRPr="00574A50">
        <w:rPr>
          <w:rFonts w:ascii="Times New Roman" w:hAnsi="Times New Roman" w:cs="Times New Roman" w:hint="eastAsia"/>
          <w:szCs w:val="21"/>
        </w:rPr>
        <w:t>でも、多国籍企業による出資が必要となり、出資によりそれらの子会社等の支配権を</w:t>
      </w:r>
      <w:r w:rsidR="00665190" w:rsidRPr="00574A50">
        <w:rPr>
          <w:rFonts w:ascii="Times New Roman" w:hAnsi="Times New Roman" w:cs="Times New Roman" w:hint="eastAsia"/>
          <w:szCs w:val="21"/>
        </w:rPr>
        <w:t>得る</w:t>
      </w:r>
      <w:r w:rsidRPr="00574A50">
        <w:rPr>
          <w:rFonts w:ascii="Times New Roman" w:hAnsi="Times New Roman" w:cs="Times New Roman" w:hint="eastAsia"/>
          <w:szCs w:val="21"/>
        </w:rPr>
        <w:t>ことになる。</w:t>
      </w:r>
      <w:r w:rsidR="000E6405" w:rsidRPr="00574A50">
        <w:rPr>
          <w:rFonts w:ascii="Times New Roman" w:hAnsi="Times New Roman" w:cs="Times New Roman" w:hint="eastAsia"/>
          <w:color w:val="000000" w:themeColor="text1"/>
          <w:szCs w:val="21"/>
        </w:rPr>
        <w:t>従来の</w:t>
      </w:r>
      <w:r w:rsidR="000E6405" w:rsidRPr="00574A50">
        <w:rPr>
          <w:rFonts w:ascii="Times New Roman" w:hAnsi="Times New Roman" w:cs="Times New Roman"/>
          <w:color w:val="000000" w:themeColor="text1"/>
          <w:szCs w:val="21"/>
        </w:rPr>
        <w:t>多国籍企業の海外進出に関</w:t>
      </w:r>
      <w:r w:rsidR="000E6405" w:rsidRPr="00574A50">
        <w:rPr>
          <w:rFonts w:ascii="Times New Roman" w:hAnsi="Times New Roman" w:cs="Times New Roman" w:hint="eastAsia"/>
          <w:color w:val="000000" w:themeColor="text1"/>
          <w:szCs w:val="21"/>
        </w:rPr>
        <w:t>する研究は、主として、</w:t>
      </w:r>
      <w:r w:rsidR="000E6405" w:rsidRPr="00574A50">
        <w:rPr>
          <w:rFonts w:ascii="Times New Roman" w:hAnsi="Times New Roman" w:cs="Times New Roman"/>
          <w:color w:val="000000" w:themeColor="text1"/>
          <w:szCs w:val="21"/>
        </w:rPr>
        <w:t>進出したホスト国での現地生産化</w:t>
      </w:r>
      <w:r w:rsidR="000E6405" w:rsidRPr="00574A50">
        <w:rPr>
          <w:rFonts w:ascii="Times New Roman" w:hAnsi="Times New Roman" w:cs="Times New Roman" w:hint="eastAsia"/>
          <w:color w:val="000000" w:themeColor="text1"/>
          <w:szCs w:val="21"/>
        </w:rPr>
        <w:t>に関する視点からなされてき</w:t>
      </w:r>
      <w:r w:rsidR="000E6405" w:rsidRPr="00574A50">
        <w:rPr>
          <w:rFonts w:ascii="Times New Roman" w:hAnsi="Times New Roman" w:cs="Times New Roman"/>
          <w:color w:val="000000" w:themeColor="text1"/>
          <w:szCs w:val="21"/>
        </w:rPr>
        <w:t>た。</w:t>
      </w:r>
      <w:r w:rsidR="000E6405" w:rsidRPr="00574A50">
        <w:rPr>
          <w:rFonts w:ascii="Times New Roman" w:hAnsi="Times New Roman" w:cs="Times New Roman" w:hint="eastAsia"/>
          <w:color w:val="000000" w:themeColor="text1"/>
          <w:szCs w:val="21"/>
        </w:rPr>
        <w:t>多国籍企業がホスト国へ生産工程を進出させた結果、</w:t>
      </w:r>
      <w:r w:rsidR="000E6405" w:rsidRPr="00574A50">
        <w:rPr>
          <w:rFonts w:ascii="Times New Roman" w:hAnsi="Times New Roman" w:cs="Times New Roman"/>
          <w:color w:val="000000" w:themeColor="text1"/>
          <w:szCs w:val="21"/>
        </w:rPr>
        <w:t>工程間分業が海外に拡がり、原材料や部品、資本財などが各国間で取り引きされるという現象</w:t>
      </w:r>
      <w:r w:rsidR="000E6405" w:rsidRPr="00574A50">
        <w:rPr>
          <w:rFonts w:ascii="Times New Roman" w:hAnsi="Times New Roman" w:cs="Times New Roman" w:hint="eastAsia"/>
          <w:color w:val="000000" w:themeColor="text1"/>
          <w:szCs w:val="21"/>
        </w:rPr>
        <w:t>につながっている。このように、</w:t>
      </w:r>
      <w:r w:rsidR="000E6405" w:rsidRPr="00574A50">
        <w:rPr>
          <w:rFonts w:ascii="Times New Roman" w:hAnsi="Times New Roman" w:cs="Times New Roman"/>
          <w:color w:val="000000" w:themeColor="text1"/>
          <w:szCs w:val="21"/>
        </w:rPr>
        <w:t>製造業などにおいて生産工程が国内外に分散していく国際的な分業体制のことを</w:t>
      </w:r>
      <w:r w:rsidR="000E6405" w:rsidRPr="00574A50">
        <w:rPr>
          <w:rFonts w:ascii="Times New Roman" w:hAnsi="Times New Roman" w:cs="Times New Roman"/>
          <w:szCs w:val="21"/>
        </w:rPr>
        <w:t>グローバル・バリュー・チェーン</w:t>
      </w:r>
      <w:r w:rsidR="000E6405" w:rsidRPr="00574A50">
        <w:rPr>
          <w:rFonts w:ascii="Times New Roman" w:hAnsi="Times New Roman" w:cs="Times New Roman" w:hint="eastAsia"/>
          <w:szCs w:val="21"/>
        </w:rPr>
        <w:t xml:space="preserve"> (</w:t>
      </w:r>
      <w:r w:rsidR="000E6405" w:rsidRPr="00574A50">
        <w:rPr>
          <w:rFonts w:ascii="Times New Roman" w:hAnsi="Times New Roman" w:cs="Times New Roman"/>
          <w:szCs w:val="21"/>
        </w:rPr>
        <w:t>GVC</w:t>
      </w:r>
      <w:r w:rsidR="000E6405" w:rsidRPr="00574A50">
        <w:rPr>
          <w:rFonts w:ascii="Times New Roman" w:hAnsi="Times New Roman" w:cs="Times New Roman" w:hint="eastAsia"/>
          <w:szCs w:val="21"/>
        </w:rPr>
        <w:t>)</w:t>
      </w:r>
      <w:r w:rsidR="000E6405" w:rsidRPr="00574A50">
        <w:rPr>
          <w:rFonts w:ascii="Times New Roman" w:hAnsi="Times New Roman" w:cs="Times New Roman"/>
          <w:color w:val="000000" w:themeColor="text1"/>
          <w:szCs w:val="21"/>
        </w:rPr>
        <w:t>と</w:t>
      </w:r>
      <w:r w:rsidR="000E6405" w:rsidRPr="00574A50">
        <w:rPr>
          <w:rFonts w:ascii="Times New Roman" w:hAnsi="Times New Roman" w:cs="Times New Roman" w:hint="eastAsia"/>
          <w:color w:val="000000" w:themeColor="text1"/>
          <w:szCs w:val="21"/>
        </w:rPr>
        <w:t>定義する</w:t>
      </w:r>
      <w:r w:rsidR="000E6405" w:rsidRPr="00574A50">
        <w:rPr>
          <w:rFonts w:ascii="Times New Roman" w:hAnsi="Times New Roman" w:cs="Times New Roman" w:hint="eastAsia"/>
          <w:color w:val="000000" w:themeColor="text1"/>
          <w:szCs w:val="21"/>
        </w:rPr>
        <w:t>。</w:t>
      </w:r>
    </w:p>
    <w:p w:rsidR="002C2D83" w:rsidRPr="00574A50" w:rsidRDefault="00665190" w:rsidP="000E6405">
      <w:pPr>
        <w:ind w:firstLineChars="100" w:firstLine="210"/>
        <w:rPr>
          <w:rFonts w:ascii="Times New Roman" w:hAnsi="Times New Roman" w:cs="Times New Roman"/>
          <w:szCs w:val="21"/>
        </w:rPr>
      </w:pPr>
      <w:r w:rsidRPr="00574A50">
        <w:rPr>
          <w:rFonts w:ascii="Times New Roman" w:hAnsi="Times New Roman" w:cs="Times New Roman" w:hint="eastAsia"/>
          <w:szCs w:val="21"/>
        </w:rPr>
        <w:t>しかし、近年では多国籍企業がそれぞれの</w:t>
      </w:r>
      <w:r w:rsidR="000E6405" w:rsidRPr="00574A50">
        <w:rPr>
          <w:rFonts w:ascii="Times New Roman" w:hAnsi="Times New Roman" w:cs="Times New Roman" w:hint="eastAsia"/>
          <w:szCs w:val="21"/>
        </w:rPr>
        <w:t>GVC</w:t>
      </w:r>
      <w:r w:rsidRPr="00574A50">
        <w:rPr>
          <w:rFonts w:ascii="Times New Roman" w:hAnsi="Times New Roman" w:cs="Times New Roman" w:hint="eastAsia"/>
          <w:szCs w:val="21"/>
        </w:rPr>
        <w:t>統括の一環として、資本参加することなしに海外企業の事業に影響を及ぼしたり、あるいは実際に支配権を得て生産を行う非出資型国際生産（</w:t>
      </w:r>
      <w:r w:rsidR="00574A50">
        <w:rPr>
          <w:rFonts w:ascii="Times New Roman" w:hAnsi="Times New Roman" w:cs="Times New Roman" w:hint="eastAsia"/>
          <w:szCs w:val="21"/>
        </w:rPr>
        <w:t>NEM</w:t>
      </w:r>
      <w:r w:rsidR="00574A50">
        <w:rPr>
          <w:rFonts w:ascii="Times New Roman" w:hAnsi="Times New Roman" w:cs="Times New Roman" w:hint="eastAsia"/>
          <w:szCs w:val="21"/>
        </w:rPr>
        <w:t>：</w:t>
      </w:r>
      <w:r w:rsidRPr="00574A50">
        <w:rPr>
          <w:rFonts w:ascii="Times New Roman" w:hAnsi="Times New Roman" w:cs="Times New Roman" w:hint="eastAsia"/>
          <w:szCs w:val="21"/>
        </w:rPr>
        <w:t>N</w:t>
      </w:r>
      <w:r w:rsidRPr="00574A50">
        <w:rPr>
          <w:rFonts w:ascii="Times New Roman" w:hAnsi="Times New Roman" w:cs="Times New Roman"/>
          <w:szCs w:val="21"/>
        </w:rPr>
        <w:t>on-Equity Modes of International Production</w:t>
      </w:r>
      <w:r w:rsidRPr="00574A50">
        <w:rPr>
          <w:rFonts w:ascii="Times New Roman" w:hAnsi="Times New Roman" w:cs="Times New Roman" w:hint="eastAsia"/>
          <w:szCs w:val="21"/>
        </w:rPr>
        <w:t>）が見られる</w:t>
      </w:r>
      <w:r w:rsidRPr="00574A50">
        <w:rPr>
          <w:rFonts w:ascii="Times New Roman" w:hAnsi="Times New Roman" w:cs="Times New Roman" w:hint="eastAsia"/>
          <w:szCs w:val="21"/>
        </w:rPr>
        <w:t xml:space="preserve"> (</w:t>
      </w:r>
      <w:r w:rsidRPr="00574A50">
        <w:rPr>
          <w:rFonts w:ascii="Times New Roman" w:hAnsi="Times New Roman" w:cs="Times New Roman"/>
          <w:szCs w:val="21"/>
        </w:rPr>
        <w:t>UNCTAD</w:t>
      </w:r>
      <w:r w:rsidRPr="00574A50">
        <w:rPr>
          <w:rFonts w:ascii="Times New Roman" w:hAnsi="Times New Roman" w:cs="Times New Roman" w:hint="eastAsia"/>
          <w:szCs w:val="21"/>
        </w:rPr>
        <w:t>:</w:t>
      </w:r>
      <w:r w:rsidRPr="00574A50">
        <w:rPr>
          <w:rFonts w:ascii="Times New Roman" w:hAnsi="Times New Roman" w:cs="Times New Roman"/>
          <w:szCs w:val="21"/>
        </w:rPr>
        <w:t xml:space="preserve"> 2011</w:t>
      </w:r>
      <w:r w:rsidRPr="00574A50">
        <w:rPr>
          <w:rFonts w:ascii="Times New Roman" w:hAnsi="Times New Roman" w:cs="Times New Roman" w:hint="eastAsia"/>
          <w:szCs w:val="21"/>
        </w:rPr>
        <w:t>、</w:t>
      </w:r>
      <w:r w:rsidR="00F11513" w:rsidRPr="00574A50">
        <w:rPr>
          <w:rFonts w:ascii="Times New Roman" w:hAnsi="Times New Roman" w:cs="Times New Roman" w:hint="eastAsia"/>
          <w:szCs w:val="21"/>
        </w:rPr>
        <w:t>藤田</w:t>
      </w:r>
      <w:r w:rsidRPr="00574A50">
        <w:rPr>
          <w:rFonts w:ascii="Times New Roman" w:hAnsi="Times New Roman" w:cs="Times New Roman" w:hint="eastAsia"/>
          <w:szCs w:val="21"/>
        </w:rPr>
        <w:t>:</w:t>
      </w:r>
      <w:r w:rsidR="00F11513" w:rsidRPr="00574A50">
        <w:rPr>
          <w:rFonts w:ascii="Times New Roman" w:hAnsi="Times New Roman" w:cs="Times New Roman" w:hint="eastAsia"/>
          <w:szCs w:val="21"/>
        </w:rPr>
        <w:t>2012</w:t>
      </w:r>
      <w:r w:rsidR="00F11513" w:rsidRPr="00574A50">
        <w:rPr>
          <w:rFonts w:ascii="Times New Roman" w:hAnsi="Times New Roman" w:cs="Times New Roman" w:hint="eastAsia"/>
          <w:szCs w:val="21"/>
        </w:rPr>
        <w:t>）。</w:t>
      </w:r>
      <w:r w:rsidR="00574A50">
        <w:rPr>
          <w:rFonts w:ascii="Times New Roman" w:hAnsi="Times New Roman" w:cs="Times New Roman" w:hint="eastAsia"/>
          <w:szCs w:val="21"/>
        </w:rPr>
        <w:t>NEM</w:t>
      </w:r>
      <w:r w:rsidRPr="00574A50">
        <w:rPr>
          <w:rFonts w:ascii="Times New Roman" w:hAnsi="Times New Roman" w:cs="Times New Roman" w:hint="eastAsia"/>
          <w:szCs w:val="21"/>
        </w:rPr>
        <w:t>は、</w:t>
      </w:r>
      <w:r w:rsidRPr="00574A50">
        <w:rPr>
          <w:rFonts w:ascii="Times New Roman" w:hAnsi="Times New Roman" w:cs="Times New Roman" w:hint="eastAsia"/>
          <w:szCs w:val="21"/>
        </w:rPr>
        <w:t>2008</w:t>
      </w:r>
      <w:r w:rsidRPr="00574A50">
        <w:rPr>
          <w:rFonts w:ascii="Times New Roman" w:hAnsi="Times New Roman" w:cs="Times New Roman" w:hint="eastAsia"/>
          <w:szCs w:val="21"/>
        </w:rPr>
        <w:t>年</w:t>
      </w:r>
      <w:r w:rsidR="00CD6F37" w:rsidRPr="00574A50">
        <w:rPr>
          <w:rFonts w:ascii="Times New Roman" w:hAnsi="Times New Roman" w:cs="Times New Roman" w:hint="eastAsia"/>
          <w:szCs w:val="21"/>
        </w:rPr>
        <w:t>の金融危機以後、</w:t>
      </w:r>
      <w:r w:rsidR="00CD6F37" w:rsidRPr="00574A50">
        <w:rPr>
          <w:rFonts w:ascii="Times New Roman" w:hAnsi="Times New Roman" w:cs="Times New Roman" w:hint="eastAsia"/>
          <w:szCs w:val="21"/>
        </w:rPr>
        <w:t>2008</w:t>
      </w:r>
      <w:r w:rsidR="00CD6F37" w:rsidRPr="00574A50">
        <w:rPr>
          <w:rFonts w:ascii="Times New Roman" w:hAnsi="Times New Roman" w:cs="Times New Roman" w:hint="eastAsia"/>
          <w:szCs w:val="21"/>
        </w:rPr>
        <w:t>年、</w:t>
      </w:r>
      <w:r w:rsidR="00CD6F37" w:rsidRPr="00574A50">
        <w:rPr>
          <w:rFonts w:ascii="Times New Roman" w:hAnsi="Times New Roman" w:cs="Times New Roman" w:hint="eastAsia"/>
          <w:szCs w:val="21"/>
        </w:rPr>
        <w:t>2009</w:t>
      </w:r>
      <w:r w:rsidR="00CD6F37" w:rsidRPr="00574A50">
        <w:rPr>
          <w:rFonts w:ascii="Times New Roman" w:hAnsi="Times New Roman" w:cs="Times New Roman" w:hint="eastAsia"/>
          <w:szCs w:val="21"/>
        </w:rPr>
        <w:t>年と</w:t>
      </w:r>
      <w:r w:rsidRPr="00574A50">
        <w:rPr>
          <w:rFonts w:ascii="Times New Roman" w:hAnsi="Times New Roman" w:cs="Times New Roman" w:hint="eastAsia"/>
          <w:szCs w:val="21"/>
        </w:rPr>
        <w:t>減少している</w:t>
      </w:r>
      <w:r w:rsidR="00CD6F37" w:rsidRPr="00574A50">
        <w:rPr>
          <w:rFonts w:ascii="Times New Roman" w:hAnsi="Times New Roman" w:cs="Times New Roman" w:hint="eastAsia"/>
          <w:szCs w:val="21"/>
        </w:rPr>
        <w:t>世界の海外直接投資</w:t>
      </w:r>
      <w:r w:rsidRPr="00574A50">
        <w:rPr>
          <w:rFonts w:ascii="Times New Roman" w:hAnsi="Times New Roman" w:cs="Times New Roman" w:hint="eastAsia"/>
          <w:szCs w:val="21"/>
        </w:rPr>
        <w:t>を補完している。</w:t>
      </w:r>
      <w:r w:rsidR="00574A50">
        <w:rPr>
          <w:rFonts w:ascii="Times New Roman" w:hAnsi="Times New Roman" w:cs="Times New Roman" w:hint="eastAsia"/>
          <w:szCs w:val="21"/>
        </w:rPr>
        <w:t>NEM</w:t>
      </w:r>
      <w:r w:rsidRPr="00574A50">
        <w:rPr>
          <w:rFonts w:ascii="Times New Roman" w:hAnsi="Times New Roman" w:cs="Times New Roman" w:hint="eastAsia"/>
          <w:szCs w:val="21"/>
        </w:rPr>
        <w:t>の</w:t>
      </w:r>
      <w:r w:rsidR="00CD6F37" w:rsidRPr="00574A50">
        <w:rPr>
          <w:rFonts w:ascii="Times New Roman" w:hAnsi="Times New Roman" w:cs="Times New Roman" w:hint="eastAsia"/>
          <w:szCs w:val="21"/>
        </w:rPr>
        <w:t>形態としては、製造委託、サービス・アウトソーシング、契約農業、フランチャイズ、ライセンス、そして管理契約などがあげられる。</w:t>
      </w:r>
      <w:r w:rsidR="00574A50">
        <w:rPr>
          <w:rFonts w:ascii="Times New Roman" w:hAnsi="Times New Roman" w:cs="Times New Roman" w:hint="eastAsia"/>
          <w:szCs w:val="21"/>
        </w:rPr>
        <w:t>NEM</w:t>
      </w:r>
      <w:r w:rsidR="00CD6F37" w:rsidRPr="00574A50">
        <w:rPr>
          <w:rFonts w:ascii="Times New Roman" w:hAnsi="Times New Roman" w:cs="Times New Roman" w:hint="eastAsia"/>
          <w:szCs w:val="21"/>
        </w:rPr>
        <w:t>の場合、多国籍企業はパートナーとなる</w:t>
      </w:r>
      <w:r w:rsidRPr="00574A50">
        <w:rPr>
          <w:rFonts w:ascii="Times New Roman" w:hAnsi="Times New Roman" w:cs="Times New Roman" w:hint="eastAsia"/>
          <w:szCs w:val="21"/>
        </w:rPr>
        <w:t>サプライヤー（</w:t>
      </w:r>
      <w:r w:rsidR="00CD6F37" w:rsidRPr="00574A50">
        <w:rPr>
          <w:rFonts w:ascii="Times New Roman" w:hAnsi="Times New Roman" w:cs="Times New Roman" w:hint="eastAsia"/>
          <w:szCs w:val="21"/>
        </w:rPr>
        <w:t>協力企業</w:t>
      </w:r>
      <w:r w:rsidRPr="00574A50">
        <w:rPr>
          <w:rFonts w:ascii="Times New Roman" w:hAnsi="Times New Roman" w:cs="Times New Roman" w:hint="eastAsia"/>
          <w:szCs w:val="21"/>
        </w:rPr>
        <w:t>であり、主にホスト国企業である）</w:t>
      </w:r>
      <w:r w:rsidR="00CD6F37" w:rsidRPr="00574A50">
        <w:rPr>
          <w:rFonts w:ascii="Times New Roman" w:hAnsi="Times New Roman" w:cs="Times New Roman" w:hint="eastAsia"/>
          <w:szCs w:val="21"/>
        </w:rPr>
        <w:t>と事業契約を締結し、多国籍企業の有する技術やビジネスモデル、企業内市場での内販機会などを軸に運営を行う。</w:t>
      </w:r>
      <w:r w:rsidRPr="00574A50">
        <w:rPr>
          <w:rFonts w:ascii="Times New Roman" w:hAnsi="Times New Roman" w:cs="Times New Roman" w:hint="eastAsia"/>
          <w:szCs w:val="21"/>
        </w:rPr>
        <w:t>その結果、ホスト国企業であるサプライヤー</w:t>
      </w:r>
      <w:r w:rsidR="00CD6F37" w:rsidRPr="00574A50">
        <w:rPr>
          <w:rFonts w:ascii="Times New Roman" w:hAnsi="Times New Roman" w:cs="Times New Roman" w:hint="eastAsia"/>
          <w:szCs w:val="21"/>
        </w:rPr>
        <w:t>は提携相手となる多国籍企業の</w:t>
      </w:r>
      <w:r w:rsidR="000E6405" w:rsidRPr="00574A50">
        <w:rPr>
          <w:rFonts w:ascii="Times New Roman" w:hAnsi="Times New Roman" w:cs="Times New Roman" w:hint="eastAsia"/>
          <w:szCs w:val="21"/>
        </w:rPr>
        <w:t>GVC</w:t>
      </w:r>
      <w:r w:rsidR="000E6405" w:rsidRPr="00574A50">
        <w:rPr>
          <w:rFonts w:ascii="Times New Roman" w:hAnsi="Times New Roman" w:cs="Times New Roman" w:hint="eastAsia"/>
          <w:szCs w:val="21"/>
        </w:rPr>
        <w:t>に</w:t>
      </w:r>
      <w:r w:rsidR="00CD6F37" w:rsidRPr="00574A50">
        <w:rPr>
          <w:rFonts w:ascii="Times New Roman" w:hAnsi="Times New Roman" w:cs="Times New Roman" w:hint="eastAsia"/>
          <w:szCs w:val="21"/>
        </w:rPr>
        <w:t>組み込まれる</w:t>
      </w:r>
      <w:r w:rsidRPr="00574A50">
        <w:rPr>
          <w:rFonts w:ascii="Times New Roman" w:hAnsi="Times New Roman" w:cs="Times New Roman" w:hint="eastAsia"/>
          <w:szCs w:val="21"/>
        </w:rPr>
        <w:t>ことになる</w:t>
      </w:r>
      <w:r w:rsidR="00CD6F37" w:rsidRPr="00574A50">
        <w:rPr>
          <w:rFonts w:ascii="Times New Roman" w:hAnsi="Times New Roman" w:cs="Times New Roman" w:hint="eastAsia"/>
          <w:szCs w:val="21"/>
        </w:rPr>
        <w:t>。</w:t>
      </w:r>
      <w:r w:rsidR="000E6405" w:rsidRPr="00574A50">
        <w:rPr>
          <w:rFonts w:ascii="Times New Roman" w:hAnsi="Times New Roman" w:cs="Times New Roman" w:hint="eastAsia"/>
          <w:szCs w:val="21"/>
        </w:rPr>
        <w:t>したがって、</w:t>
      </w:r>
      <w:r w:rsidR="000E6405" w:rsidRPr="00574A50">
        <w:rPr>
          <w:rFonts w:ascii="Times New Roman" w:hAnsi="Times New Roman" w:cs="Times New Roman" w:hint="eastAsia"/>
          <w:szCs w:val="21"/>
        </w:rPr>
        <w:t>GVC</w:t>
      </w:r>
      <w:r w:rsidR="000E6405" w:rsidRPr="00574A50">
        <w:rPr>
          <w:rFonts w:ascii="Times New Roman" w:hAnsi="Times New Roman" w:cs="Times New Roman"/>
          <w:szCs w:val="21"/>
        </w:rPr>
        <w:t>を</w:t>
      </w:r>
      <w:r w:rsidR="000E6405" w:rsidRPr="00574A50">
        <w:rPr>
          <w:rFonts w:ascii="Times New Roman" w:hAnsi="Times New Roman" w:cs="Times New Roman" w:hint="eastAsia"/>
          <w:szCs w:val="21"/>
        </w:rPr>
        <w:t>統括している</w:t>
      </w:r>
      <w:r w:rsidR="000E6405" w:rsidRPr="00574A50">
        <w:rPr>
          <w:rFonts w:ascii="Times New Roman" w:hAnsi="Times New Roman" w:cs="Times New Roman"/>
          <w:szCs w:val="21"/>
        </w:rPr>
        <w:t>多国籍企業</w:t>
      </w:r>
      <w:r w:rsidR="000E6405" w:rsidRPr="00574A50">
        <w:rPr>
          <w:rFonts w:ascii="Times New Roman" w:hAnsi="Times New Roman" w:cs="Times New Roman" w:hint="eastAsia"/>
          <w:szCs w:val="21"/>
        </w:rPr>
        <w:t>本社および多国籍企業</w:t>
      </w:r>
      <w:r w:rsidR="000E6405" w:rsidRPr="00574A50">
        <w:rPr>
          <w:rFonts w:ascii="Times New Roman" w:hAnsi="Times New Roman" w:cs="Times New Roman"/>
          <w:szCs w:val="21"/>
        </w:rPr>
        <w:t>子会社と企業間連携を保持している</w:t>
      </w:r>
      <w:r w:rsidR="000E6405" w:rsidRPr="00574A50">
        <w:rPr>
          <w:rFonts w:ascii="Times New Roman" w:hAnsi="Times New Roman" w:cs="Times New Roman" w:hint="eastAsia"/>
          <w:szCs w:val="21"/>
        </w:rPr>
        <w:t>ホスト国</w:t>
      </w:r>
      <w:r w:rsidR="000E6405" w:rsidRPr="00574A50">
        <w:rPr>
          <w:rFonts w:ascii="Times New Roman" w:hAnsi="Times New Roman" w:cs="Times New Roman"/>
          <w:szCs w:val="21"/>
        </w:rPr>
        <w:t>企業は</w:t>
      </w:r>
      <w:r w:rsidR="000E6405" w:rsidRPr="00574A50">
        <w:rPr>
          <w:rFonts w:ascii="Times New Roman" w:hAnsi="Times New Roman" w:cs="Times New Roman" w:hint="eastAsia"/>
          <w:szCs w:val="21"/>
        </w:rPr>
        <w:t>、</w:t>
      </w:r>
      <w:r w:rsidR="000E6405" w:rsidRPr="00574A50">
        <w:rPr>
          <w:rFonts w:ascii="Times New Roman" w:hAnsi="Times New Roman" w:cs="Times New Roman"/>
          <w:szCs w:val="21"/>
        </w:rPr>
        <w:t>各種部品・構成品や原材料の供給、およびライセンシング、などの形態を通じて、より高度な知識や技術を獲得し、生産・マネジメント技術の向上が可能となり、</w:t>
      </w:r>
      <w:r w:rsidR="000E6405" w:rsidRPr="00574A50">
        <w:rPr>
          <w:rFonts w:ascii="Times New Roman" w:hAnsi="Times New Roman" w:cs="Times New Roman" w:hint="eastAsia"/>
          <w:szCs w:val="21"/>
        </w:rPr>
        <w:t>ホスト国企業内</w:t>
      </w:r>
      <w:r w:rsidR="000E6405" w:rsidRPr="00574A50">
        <w:rPr>
          <w:rFonts w:ascii="Times New Roman" w:hAnsi="Times New Roman" w:cs="Times New Roman" w:hint="eastAsia"/>
          <w:szCs w:val="21"/>
        </w:rPr>
        <w:t>での</w:t>
      </w:r>
      <w:r w:rsidR="000E6405" w:rsidRPr="00574A50">
        <w:rPr>
          <w:rFonts w:ascii="Times New Roman" w:hAnsi="Times New Roman" w:cs="Times New Roman" w:hint="eastAsia"/>
          <w:szCs w:val="21"/>
        </w:rPr>
        <w:t>C</w:t>
      </w:r>
      <w:r w:rsidR="000E6405" w:rsidRPr="00574A50">
        <w:rPr>
          <w:rFonts w:ascii="Times New Roman" w:hAnsi="Times New Roman" w:cs="Times New Roman"/>
          <w:szCs w:val="21"/>
        </w:rPr>
        <w:t>apacity building</w:t>
      </w:r>
      <w:r w:rsidR="000E6405" w:rsidRPr="00574A50">
        <w:rPr>
          <w:rFonts w:ascii="Times New Roman" w:hAnsi="Times New Roman" w:cs="Times New Roman" w:hint="eastAsia"/>
          <w:szCs w:val="21"/>
        </w:rPr>
        <w:t>が可能となり、</w:t>
      </w:r>
      <w:r w:rsidR="000E6405" w:rsidRPr="00574A50">
        <w:rPr>
          <w:rFonts w:ascii="Times New Roman" w:hAnsi="Times New Roman" w:cs="Times New Roman" w:hint="eastAsia"/>
          <w:szCs w:val="21"/>
        </w:rPr>
        <w:t>バリュー・チェーンの</w:t>
      </w:r>
      <w:r w:rsidR="000E6405" w:rsidRPr="00574A50">
        <w:rPr>
          <w:rFonts w:ascii="Times New Roman" w:hAnsi="Times New Roman" w:cs="Times New Roman"/>
          <w:szCs w:val="21"/>
        </w:rPr>
        <w:t>グレードアップ軌道に乗ること</w:t>
      </w:r>
      <w:r w:rsidR="000E6405" w:rsidRPr="00574A50">
        <w:rPr>
          <w:rFonts w:ascii="Times New Roman" w:hAnsi="Times New Roman" w:cs="Times New Roman" w:hint="eastAsia"/>
          <w:szCs w:val="21"/>
        </w:rPr>
        <w:t>も可能となる</w:t>
      </w:r>
      <w:r w:rsidR="000E6405" w:rsidRPr="00574A50">
        <w:rPr>
          <w:rFonts w:ascii="Times New Roman" w:hAnsi="Times New Roman" w:cs="Times New Roman"/>
          <w:color w:val="000000" w:themeColor="text1"/>
          <w:szCs w:val="21"/>
        </w:rPr>
        <w:t>（</w:t>
      </w:r>
      <w:r w:rsidR="000E6405" w:rsidRPr="00574A50">
        <w:rPr>
          <w:rFonts w:ascii="Times New Roman" w:hAnsi="Times New Roman" w:cs="Times New Roman"/>
          <w:color w:val="000000" w:themeColor="text1"/>
          <w:szCs w:val="21"/>
        </w:rPr>
        <w:t>UNCTAD,2013, 166</w:t>
      </w:r>
      <w:r w:rsidR="000E6405" w:rsidRPr="00574A50">
        <w:rPr>
          <w:rFonts w:ascii="Times New Roman" w:hAnsi="Times New Roman" w:cs="Times New Roman" w:hint="eastAsia"/>
          <w:color w:val="000000" w:themeColor="text1"/>
          <w:szCs w:val="21"/>
        </w:rPr>
        <w:t>）</w:t>
      </w:r>
      <w:r w:rsidR="000E6405" w:rsidRPr="00574A50">
        <w:rPr>
          <w:rFonts w:ascii="Times New Roman" w:hAnsi="Times New Roman" w:cs="Times New Roman" w:hint="eastAsia"/>
          <w:color w:val="000000" w:themeColor="text1"/>
          <w:szCs w:val="21"/>
        </w:rPr>
        <w:t>。</w:t>
      </w:r>
      <w:r w:rsidRPr="00574A50">
        <w:rPr>
          <w:rFonts w:ascii="Times New Roman" w:hAnsi="Times New Roman" w:cs="Times New Roman" w:hint="eastAsia"/>
          <w:color w:val="000000" w:themeColor="text1"/>
          <w:szCs w:val="21"/>
        </w:rPr>
        <w:t>サプライヤーである</w:t>
      </w:r>
      <w:r w:rsidR="00A977CA" w:rsidRPr="00574A50">
        <w:rPr>
          <w:rFonts w:ascii="Times New Roman" w:hAnsi="Times New Roman" w:cs="Times New Roman" w:hint="eastAsia"/>
          <w:color w:val="000000" w:themeColor="text1"/>
          <w:szCs w:val="21"/>
        </w:rPr>
        <w:t>ホスト国企業が多国籍企業の</w:t>
      </w:r>
      <w:r w:rsidR="00A977CA" w:rsidRPr="00574A50">
        <w:rPr>
          <w:rFonts w:ascii="Times New Roman" w:hAnsi="Times New Roman" w:cs="Times New Roman" w:hint="eastAsia"/>
          <w:color w:val="000000" w:themeColor="text1"/>
          <w:szCs w:val="21"/>
        </w:rPr>
        <w:t>G</w:t>
      </w:r>
      <w:r w:rsidR="00A977CA" w:rsidRPr="00574A50">
        <w:rPr>
          <w:rFonts w:ascii="Times New Roman" w:hAnsi="Times New Roman" w:cs="Times New Roman"/>
          <w:color w:val="000000" w:themeColor="text1"/>
          <w:szCs w:val="21"/>
        </w:rPr>
        <w:t>VC</w:t>
      </w:r>
      <w:r w:rsidR="00A977CA" w:rsidRPr="00574A50">
        <w:rPr>
          <w:rFonts w:ascii="Times New Roman" w:hAnsi="Times New Roman" w:cs="Times New Roman" w:hint="eastAsia"/>
          <w:color w:val="000000" w:themeColor="text1"/>
          <w:szCs w:val="21"/>
        </w:rPr>
        <w:t>に</w:t>
      </w:r>
      <w:r w:rsidR="00F11513" w:rsidRPr="00574A50">
        <w:rPr>
          <w:rFonts w:ascii="Times New Roman" w:hAnsi="Times New Roman" w:cs="Times New Roman" w:hint="eastAsia"/>
          <w:color w:val="000000" w:themeColor="text1"/>
          <w:szCs w:val="21"/>
        </w:rPr>
        <w:t>N</w:t>
      </w:r>
      <w:r w:rsidR="00F11513" w:rsidRPr="00574A50">
        <w:rPr>
          <w:rFonts w:ascii="Times New Roman" w:hAnsi="Times New Roman" w:cs="Times New Roman"/>
          <w:color w:val="000000" w:themeColor="text1"/>
          <w:szCs w:val="21"/>
        </w:rPr>
        <w:t>EM</w:t>
      </w:r>
      <w:r w:rsidR="00F11513" w:rsidRPr="00574A50">
        <w:rPr>
          <w:rFonts w:ascii="Times New Roman" w:hAnsi="Times New Roman" w:cs="Times New Roman" w:hint="eastAsia"/>
          <w:color w:val="000000" w:themeColor="text1"/>
          <w:szCs w:val="21"/>
        </w:rPr>
        <w:t>を通じて</w:t>
      </w:r>
      <w:r w:rsidR="00A977CA" w:rsidRPr="00574A50">
        <w:rPr>
          <w:rFonts w:ascii="Times New Roman" w:hAnsi="Times New Roman" w:cs="Times New Roman" w:hint="eastAsia"/>
          <w:color w:val="000000" w:themeColor="text1"/>
          <w:szCs w:val="21"/>
        </w:rPr>
        <w:t>参与することで</w:t>
      </w:r>
      <w:r w:rsidR="002C2D83" w:rsidRPr="00574A50">
        <w:rPr>
          <w:rFonts w:ascii="Times New Roman" w:hAnsi="Times New Roman" w:cs="Times New Roman"/>
          <w:szCs w:val="21"/>
        </w:rPr>
        <w:t>国際市場</w:t>
      </w:r>
      <w:r w:rsidR="00A977CA" w:rsidRPr="00574A50">
        <w:rPr>
          <w:rFonts w:ascii="Times New Roman" w:hAnsi="Times New Roman" w:cs="Times New Roman" w:hint="eastAsia"/>
          <w:szCs w:val="21"/>
        </w:rPr>
        <w:t>と</w:t>
      </w:r>
      <w:r w:rsidR="002C2D83" w:rsidRPr="00574A50">
        <w:rPr>
          <w:rFonts w:ascii="Times New Roman" w:hAnsi="Times New Roman" w:cs="Times New Roman"/>
          <w:szCs w:val="21"/>
        </w:rPr>
        <w:t>連結</w:t>
      </w:r>
      <w:r w:rsidR="00A977CA" w:rsidRPr="00574A50">
        <w:rPr>
          <w:rFonts w:ascii="Times New Roman" w:hAnsi="Times New Roman" w:cs="Times New Roman" w:hint="eastAsia"/>
          <w:szCs w:val="21"/>
        </w:rPr>
        <w:t>する場合、</w:t>
      </w:r>
      <w:r w:rsidR="002C2D83" w:rsidRPr="00574A50">
        <w:rPr>
          <w:rFonts w:ascii="Times New Roman" w:hAnsi="Times New Roman" w:cs="Times New Roman"/>
          <w:szCs w:val="21"/>
        </w:rPr>
        <w:t>国際的品質基準、安全基準が要求されるために、より高度な生産・マネジメント全体のシステムと組織能力の向上が</w:t>
      </w:r>
      <w:r w:rsidR="00A977CA" w:rsidRPr="00574A50">
        <w:rPr>
          <w:rFonts w:ascii="Times New Roman" w:hAnsi="Times New Roman" w:cs="Times New Roman" w:hint="eastAsia"/>
          <w:szCs w:val="21"/>
        </w:rPr>
        <w:t>ホスト国企業に</w:t>
      </w:r>
      <w:r w:rsidR="002C2D83" w:rsidRPr="00574A50">
        <w:rPr>
          <w:rFonts w:ascii="Times New Roman" w:hAnsi="Times New Roman" w:cs="Times New Roman"/>
          <w:szCs w:val="21"/>
        </w:rPr>
        <w:t>求められる。</w:t>
      </w:r>
    </w:p>
    <w:p w:rsidR="000E6405" w:rsidRPr="00574A50" w:rsidRDefault="00784C05" w:rsidP="000E6405">
      <w:pPr>
        <w:ind w:firstLineChars="100" w:firstLine="210"/>
        <w:rPr>
          <w:rFonts w:ascii="Times New Roman" w:hAnsi="Times New Roman" w:cs="Times New Roman" w:hint="eastAsia"/>
          <w:szCs w:val="21"/>
        </w:rPr>
      </w:pPr>
      <w:r w:rsidRPr="00574A50">
        <w:rPr>
          <w:rFonts w:ascii="Times New Roman" w:hAnsi="Times New Roman" w:cs="Times New Roman" w:hint="eastAsia"/>
          <w:szCs w:val="21"/>
        </w:rPr>
        <w:t>GVC</w:t>
      </w:r>
      <w:r w:rsidRPr="00574A50">
        <w:rPr>
          <w:rFonts w:ascii="Times New Roman" w:hAnsi="Times New Roman" w:cs="Times New Roman"/>
          <w:szCs w:val="21"/>
        </w:rPr>
        <w:t>を構築している多くの多国籍企業は国際的に低生産コストの拠点で集中的に生産し、ターゲットとする販売拠点に投入する傾向にある。こうした傾向は、多様な</w:t>
      </w:r>
      <w:r w:rsidRPr="00574A50">
        <w:rPr>
          <w:rFonts w:ascii="Times New Roman" w:hAnsi="Times New Roman" w:cs="Times New Roman"/>
          <w:szCs w:val="21"/>
        </w:rPr>
        <w:t>FTA(Free Trade Agreement)</w:t>
      </w:r>
      <w:r w:rsidRPr="00574A50">
        <w:rPr>
          <w:rFonts w:ascii="Times New Roman" w:hAnsi="Times New Roman" w:cs="Times New Roman"/>
          <w:szCs w:val="21"/>
        </w:rPr>
        <w:t>による関税率の低下、および各種の国際的標準化をはじめ資本移動を促進する国</w:t>
      </w:r>
      <w:r w:rsidRPr="00574A50">
        <w:rPr>
          <w:rFonts w:ascii="Times New Roman" w:hAnsi="Times New Roman" w:cs="Times New Roman"/>
          <w:szCs w:val="21"/>
        </w:rPr>
        <w:lastRenderedPageBreak/>
        <w:t>際的インフラが構築されてくるにつれて一層顕著になってきている</w:t>
      </w:r>
      <w:r w:rsidRPr="00574A50">
        <w:rPr>
          <w:rFonts w:ascii="Times New Roman" w:hAnsi="Times New Roman" w:cs="Times New Roman" w:hint="eastAsia"/>
          <w:szCs w:val="21"/>
        </w:rPr>
        <w:t>。</w:t>
      </w:r>
      <w:r w:rsidRPr="00574A50">
        <w:rPr>
          <w:rFonts w:ascii="Times New Roman" w:hAnsi="Times New Roman" w:cs="Times New Roman"/>
          <w:szCs w:val="21"/>
        </w:rPr>
        <w:t>基本的にこうした傾向が一般化した場合には、新興国の現地企業の多くは、ホスト国の資源（素材、構成部品、労働力、知識）を活用しながらホスト国での付加価値を高めていくプロセス</w:t>
      </w:r>
      <w:r w:rsidRPr="00574A50">
        <w:rPr>
          <w:rFonts w:ascii="Times New Roman" w:hAnsi="Times New Roman" w:cs="Times New Roman"/>
          <w:szCs w:val="21"/>
        </w:rPr>
        <w:t>(Domestic Value Added Process)</w:t>
      </w:r>
      <w:r w:rsidRPr="00574A50">
        <w:rPr>
          <w:rFonts w:ascii="Times New Roman" w:hAnsi="Times New Roman" w:cs="Times New Roman"/>
          <w:szCs w:val="21"/>
        </w:rPr>
        <w:t>が欠如しているために、多国籍企業が立地の優位性を見出す他のホスト国で生産した低価格製品に現地市場を席巻されてしまい、その結果、海外で付加価値が付けられた</w:t>
      </w:r>
      <w:r w:rsidRPr="00574A50">
        <w:rPr>
          <w:rFonts w:ascii="Times New Roman" w:hAnsi="Times New Roman" w:cs="Times New Roman"/>
          <w:szCs w:val="21"/>
        </w:rPr>
        <w:t>(Foreign Value Added)</w:t>
      </w:r>
      <w:r w:rsidRPr="00574A50">
        <w:rPr>
          <w:rFonts w:ascii="Times New Roman" w:hAnsi="Times New Roman" w:cs="Times New Roman"/>
          <w:szCs w:val="21"/>
        </w:rPr>
        <w:t>製品の単なる販売拠点と化してしまう危険性を有する。</w:t>
      </w:r>
      <w:r w:rsidRPr="00574A50">
        <w:rPr>
          <w:rFonts w:ascii="Times New Roman" w:hAnsi="Times New Roman" w:cs="Times New Roman" w:hint="eastAsia"/>
          <w:szCs w:val="21"/>
        </w:rPr>
        <w:t>しかし、</w:t>
      </w:r>
      <w:r w:rsidRPr="00574A50">
        <w:rPr>
          <w:rFonts w:ascii="Times New Roman" w:hAnsi="Times New Roman" w:cs="Times New Roman"/>
          <w:szCs w:val="21"/>
        </w:rPr>
        <w:t>ホスト国の拠点が単なる組立て拠点ではなく、構成部品やシステムの一部として海外で付加価値の付けられた中間製品が輸入され、</w:t>
      </w:r>
      <w:r w:rsidRPr="00574A50">
        <w:rPr>
          <w:rFonts w:ascii="Times New Roman" w:hAnsi="Times New Roman" w:cs="Times New Roman" w:hint="eastAsia"/>
          <w:szCs w:val="21"/>
        </w:rPr>
        <w:t>ホスト国で</w:t>
      </w:r>
      <w:r w:rsidRPr="00574A50">
        <w:rPr>
          <w:rFonts w:ascii="Times New Roman" w:hAnsi="Times New Roman" w:cs="Times New Roman"/>
          <w:szCs w:val="21"/>
        </w:rPr>
        <w:t>さらなる</w:t>
      </w:r>
      <w:r w:rsidRPr="00574A50">
        <w:rPr>
          <w:rFonts w:ascii="Times New Roman" w:hAnsi="Times New Roman" w:cs="Times New Roman"/>
          <w:szCs w:val="21"/>
        </w:rPr>
        <w:t>Domestic Value Added</w:t>
      </w:r>
      <w:r w:rsidRPr="00574A50">
        <w:rPr>
          <w:rFonts w:ascii="Times New Roman" w:hAnsi="Times New Roman" w:cs="Times New Roman"/>
          <w:szCs w:val="21"/>
        </w:rPr>
        <w:t>が付加され、海外市場に投入される場合には、現地機関、組織の能力向上に連動しうることになる。</w:t>
      </w:r>
    </w:p>
    <w:p w:rsidR="009E2CB8" w:rsidRPr="000E52A0" w:rsidRDefault="000E6405" w:rsidP="0055571C">
      <w:pPr>
        <w:ind w:firstLineChars="100" w:firstLine="210"/>
      </w:pPr>
      <w:r w:rsidRPr="00574A50">
        <w:rPr>
          <w:rFonts w:hint="eastAsia"/>
        </w:rPr>
        <w:t>本報告では、</w:t>
      </w:r>
      <w:r w:rsidRPr="00574A50">
        <w:rPr>
          <w:rFonts w:hint="eastAsia"/>
        </w:rPr>
        <w:t>ASEAN</w:t>
      </w:r>
      <w:r w:rsidRPr="00574A50">
        <w:rPr>
          <w:rFonts w:hint="eastAsia"/>
        </w:rPr>
        <w:t>加盟国でも特に</w:t>
      </w:r>
      <w:r w:rsidR="00574A50">
        <w:rPr>
          <w:rFonts w:hint="eastAsia"/>
        </w:rPr>
        <w:t>NEM</w:t>
      </w:r>
      <w:r w:rsidRPr="00574A50">
        <w:rPr>
          <w:rFonts w:hint="eastAsia"/>
        </w:rPr>
        <w:t>の</w:t>
      </w:r>
      <w:r w:rsidRPr="00574A50">
        <w:rPr>
          <w:rFonts w:hint="eastAsia"/>
        </w:rPr>
        <w:t>サプライヤー</w:t>
      </w:r>
      <w:r w:rsidRPr="00574A50">
        <w:rPr>
          <w:rFonts w:hint="eastAsia"/>
        </w:rPr>
        <w:t>側の役割を</w:t>
      </w:r>
      <w:r w:rsidRPr="00574A50">
        <w:rPr>
          <w:rFonts w:hint="eastAsia"/>
        </w:rPr>
        <w:t>担っている</w:t>
      </w:r>
      <w:r w:rsidRPr="00574A50">
        <w:rPr>
          <w:rFonts w:hint="eastAsia"/>
        </w:rPr>
        <w:t>フィリピン</w:t>
      </w:r>
      <w:r w:rsidRPr="00574A50">
        <w:rPr>
          <w:rFonts w:hint="eastAsia"/>
        </w:rPr>
        <w:t>IT-BPO</w:t>
      </w:r>
      <w:r w:rsidRPr="00574A50">
        <w:rPr>
          <w:rFonts w:hint="eastAsia"/>
        </w:rPr>
        <w:t>産業</w:t>
      </w:r>
      <w:r w:rsidRPr="00574A50">
        <w:rPr>
          <w:rFonts w:hint="eastAsia"/>
        </w:rPr>
        <w:t>、</w:t>
      </w:r>
      <w:r w:rsidRPr="00574A50">
        <w:rPr>
          <w:rFonts w:hint="eastAsia"/>
        </w:rPr>
        <w:t>Capacity building</w:t>
      </w:r>
      <w:r w:rsidRPr="00574A50">
        <w:rPr>
          <w:rFonts w:hint="eastAsia"/>
        </w:rPr>
        <w:t>が確認されている</w:t>
      </w:r>
      <w:r w:rsidRPr="00574A50">
        <w:rPr>
          <w:rFonts w:hint="eastAsia"/>
        </w:rPr>
        <w:t>タイのアパレル産業</w:t>
      </w:r>
      <w:r w:rsidRPr="00574A50">
        <w:rPr>
          <w:rFonts w:hint="eastAsia"/>
        </w:rPr>
        <w:t>、食肉産業、宝飾品産業、オートパーツ産業</w:t>
      </w:r>
      <w:r w:rsidRPr="00574A50">
        <w:rPr>
          <w:rFonts w:hint="eastAsia"/>
        </w:rPr>
        <w:t>の事例を用いて</w:t>
      </w:r>
      <w:r w:rsidRPr="00574A50">
        <w:rPr>
          <w:rFonts w:hint="eastAsia"/>
        </w:rPr>
        <w:t>、</w:t>
      </w:r>
      <w:r w:rsidR="0055571C">
        <w:rPr>
          <w:rFonts w:hint="eastAsia"/>
        </w:rPr>
        <w:t>多国籍企業の</w:t>
      </w:r>
      <w:r w:rsidR="0055571C">
        <w:rPr>
          <w:rFonts w:hint="eastAsia"/>
        </w:rPr>
        <w:t>GVC</w:t>
      </w:r>
      <w:r w:rsidR="0055571C">
        <w:rPr>
          <w:rFonts w:hint="eastAsia"/>
        </w:rPr>
        <w:t>統括戦略を考察する。</w:t>
      </w:r>
      <w:r w:rsidR="00776154" w:rsidRPr="00574A50">
        <w:rPr>
          <w:rFonts w:hint="eastAsia"/>
          <w:sz w:val="20"/>
        </w:rPr>
        <w:t>多国籍企業が従来のエントリーモードではなく、</w:t>
      </w:r>
      <w:r w:rsidR="00574A50">
        <w:rPr>
          <w:rFonts w:hint="eastAsia"/>
          <w:sz w:val="20"/>
        </w:rPr>
        <w:t>NEM</w:t>
      </w:r>
      <w:r w:rsidR="00776154" w:rsidRPr="00574A50">
        <w:rPr>
          <w:rFonts w:hint="eastAsia"/>
          <w:sz w:val="20"/>
        </w:rPr>
        <w:t>により</w:t>
      </w:r>
      <w:r w:rsidR="00776154" w:rsidRPr="00574A50">
        <w:rPr>
          <w:rFonts w:hint="eastAsia"/>
          <w:sz w:val="20"/>
        </w:rPr>
        <w:t>国境を越えて</w:t>
      </w:r>
      <w:r w:rsidR="00776154" w:rsidRPr="00574A50">
        <w:rPr>
          <w:rFonts w:ascii="Times New Roman" w:hAnsi="Times New Roman" w:cs="Times New Roman" w:hint="eastAsia"/>
          <w:szCs w:val="21"/>
        </w:rPr>
        <w:t>多国籍企業の有する技術やビジネスモデルを軸に運営を行</w:t>
      </w:r>
      <w:r w:rsidR="00776154" w:rsidRPr="00574A50">
        <w:rPr>
          <w:rFonts w:ascii="Times New Roman" w:hAnsi="Times New Roman" w:cs="Times New Roman" w:hint="eastAsia"/>
          <w:szCs w:val="21"/>
        </w:rPr>
        <w:t>っている現象とその影響</w:t>
      </w:r>
      <w:r w:rsidR="0055571C">
        <w:rPr>
          <w:rFonts w:ascii="Times New Roman" w:hAnsi="Times New Roman" w:cs="Times New Roman" w:hint="eastAsia"/>
          <w:szCs w:val="21"/>
        </w:rPr>
        <w:t>、そして、</w:t>
      </w:r>
      <w:r w:rsidR="00574A50">
        <w:rPr>
          <w:rFonts w:hint="eastAsia"/>
        </w:rPr>
        <w:t>NEM</w:t>
      </w:r>
      <w:r w:rsidRPr="00574A50">
        <w:rPr>
          <w:rFonts w:hint="eastAsia"/>
        </w:rPr>
        <w:t>による</w:t>
      </w:r>
      <w:r w:rsidR="00776154" w:rsidRPr="00574A50">
        <w:rPr>
          <w:rFonts w:hint="eastAsia"/>
        </w:rPr>
        <w:t>ホスト国企業の</w:t>
      </w:r>
      <w:r w:rsidRPr="00574A50">
        <w:rPr>
          <w:rFonts w:hint="eastAsia"/>
        </w:rPr>
        <w:t>GVC</w:t>
      </w:r>
      <w:r w:rsidRPr="00574A50">
        <w:rPr>
          <w:rFonts w:hint="eastAsia"/>
        </w:rPr>
        <w:t>への参加の可能性</w:t>
      </w:r>
      <w:r w:rsidR="00574A50" w:rsidRPr="00574A50">
        <w:rPr>
          <w:rFonts w:hint="eastAsia"/>
        </w:rPr>
        <w:t>の考察と、</w:t>
      </w:r>
      <w:r w:rsidRPr="00574A50">
        <w:rPr>
          <w:rFonts w:hint="eastAsia"/>
          <w:sz w:val="20"/>
        </w:rPr>
        <w:t>近隣</w:t>
      </w:r>
      <w:r w:rsidRPr="00574A50">
        <w:rPr>
          <w:sz w:val="20"/>
        </w:rPr>
        <w:t>ASEAN</w:t>
      </w:r>
      <w:r w:rsidRPr="00574A50">
        <w:rPr>
          <w:rFonts w:hint="eastAsia"/>
          <w:sz w:val="20"/>
        </w:rPr>
        <w:t>諸国へのインプリケーション</w:t>
      </w:r>
      <w:r w:rsidR="00776154" w:rsidRPr="00574A50">
        <w:rPr>
          <w:rFonts w:hint="eastAsia"/>
          <w:sz w:val="20"/>
        </w:rPr>
        <w:t>を</w:t>
      </w:r>
      <w:r w:rsidR="00574A50" w:rsidRPr="00574A50">
        <w:rPr>
          <w:rFonts w:hint="eastAsia"/>
          <w:sz w:val="20"/>
        </w:rPr>
        <w:t>提示</w:t>
      </w:r>
      <w:r w:rsidR="00776154" w:rsidRPr="00574A50">
        <w:rPr>
          <w:rFonts w:hint="eastAsia"/>
          <w:sz w:val="20"/>
        </w:rPr>
        <w:t>する。</w:t>
      </w:r>
      <w:bookmarkStart w:id="0" w:name="_GoBack"/>
      <w:bookmarkEnd w:id="0"/>
    </w:p>
    <w:sectPr w:rsidR="009E2CB8" w:rsidRPr="000E52A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C8" w:rsidRDefault="004671C8" w:rsidP="009E2CB8">
      <w:r>
        <w:separator/>
      </w:r>
    </w:p>
  </w:endnote>
  <w:endnote w:type="continuationSeparator" w:id="0">
    <w:p w:rsidR="004671C8" w:rsidRDefault="004671C8" w:rsidP="009E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C8" w:rsidRDefault="004671C8" w:rsidP="009E2CB8">
      <w:r>
        <w:separator/>
      </w:r>
    </w:p>
  </w:footnote>
  <w:footnote w:type="continuationSeparator" w:id="0">
    <w:p w:rsidR="004671C8" w:rsidRDefault="004671C8" w:rsidP="009E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01AF"/>
    <w:multiLevelType w:val="hybridMultilevel"/>
    <w:tmpl w:val="1A522A3A"/>
    <w:lvl w:ilvl="0" w:tplc="D5A22A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7A7104B4"/>
    <w:multiLevelType w:val="hybridMultilevel"/>
    <w:tmpl w:val="F59E446A"/>
    <w:lvl w:ilvl="0" w:tplc="3D928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A0"/>
    <w:rsid w:val="000E52A0"/>
    <w:rsid w:val="000E6405"/>
    <w:rsid w:val="002C2D83"/>
    <w:rsid w:val="004671C8"/>
    <w:rsid w:val="0055571C"/>
    <w:rsid w:val="00574A50"/>
    <w:rsid w:val="005D40B9"/>
    <w:rsid w:val="005F63EA"/>
    <w:rsid w:val="00636DCF"/>
    <w:rsid w:val="00665190"/>
    <w:rsid w:val="00776154"/>
    <w:rsid w:val="00784C05"/>
    <w:rsid w:val="009E2CB8"/>
    <w:rsid w:val="00A977CA"/>
    <w:rsid w:val="00CD6F37"/>
    <w:rsid w:val="00EE1C00"/>
    <w:rsid w:val="00F11513"/>
    <w:rsid w:val="00F25438"/>
    <w:rsid w:val="00FE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2A0"/>
    <w:pPr>
      <w:ind w:leftChars="400" w:left="840"/>
    </w:pPr>
  </w:style>
  <w:style w:type="paragraph" w:styleId="a4">
    <w:name w:val="header"/>
    <w:basedOn w:val="a"/>
    <w:link w:val="a5"/>
    <w:uiPriority w:val="99"/>
    <w:unhideWhenUsed/>
    <w:rsid w:val="009E2CB8"/>
    <w:pPr>
      <w:tabs>
        <w:tab w:val="center" w:pos="4252"/>
        <w:tab w:val="right" w:pos="8504"/>
      </w:tabs>
      <w:snapToGrid w:val="0"/>
    </w:pPr>
  </w:style>
  <w:style w:type="character" w:customStyle="1" w:styleId="a5">
    <w:name w:val="ヘッダー (文字)"/>
    <w:basedOn w:val="a0"/>
    <w:link w:val="a4"/>
    <w:uiPriority w:val="99"/>
    <w:rsid w:val="009E2CB8"/>
  </w:style>
  <w:style w:type="paragraph" w:styleId="a6">
    <w:name w:val="footer"/>
    <w:basedOn w:val="a"/>
    <w:link w:val="a7"/>
    <w:uiPriority w:val="99"/>
    <w:unhideWhenUsed/>
    <w:rsid w:val="009E2CB8"/>
    <w:pPr>
      <w:tabs>
        <w:tab w:val="center" w:pos="4252"/>
        <w:tab w:val="right" w:pos="8504"/>
      </w:tabs>
      <w:snapToGrid w:val="0"/>
    </w:pPr>
  </w:style>
  <w:style w:type="character" w:customStyle="1" w:styleId="a7">
    <w:name w:val="フッター (文字)"/>
    <w:basedOn w:val="a0"/>
    <w:link w:val="a6"/>
    <w:uiPriority w:val="99"/>
    <w:rsid w:val="009E2CB8"/>
  </w:style>
  <w:style w:type="paragraph" w:styleId="a8">
    <w:name w:val="footnote text"/>
    <w:basedOn w:val="a"/>
    <w:link w:val="a9"/>
    <w:uiPriority w:val="99"/>
    <w:unhideWhenUsed/>
    <w:rsid w:val="002C2D83"/>
    <w:pPr>
      <w:snapToGrid w:val="0"/>
      <w:jc w:val="left"/>
    </w:pPr>
    <w:rPr>
      <w:rFonts w:ascii="Century" w:eastAsia="ＭＳ 明朝" w:hAnsi="Century" w:cs="Century"/>
      <w:szCs w:val="21"/>
    </w:rPr>
  </w:style>
  <w:style w:type="character" w:customStyle="1" w:styleId="a9">
    <w:name w:val="脚注文字列 (文字)"/>
    <w:basedOn w:val="a0"/>
    <w:link w:val="a8"/>
    <w:uiPriority w:val="99"/>
    <w:rsid w:val="002C2D83"/>
    <w:rPr>
      <w:rFonts w:ascii="Century" w:eastAsia="ＭＳ 明朝" w:hAnsi="Century" w:cs="Century"/>
      <w:szCs w:val="21"/>
    </w:rPr>
  </w:style>
  <w:style w:type="character" w:styleId="aa">
    <w:name w:val="footnote reference"/>
    <w:basedOn w:val="a0"/>
    <w:uiPriority w:val="99"/>
    <w:semiHidden/>
    <w:unhideWhenUsed/>
    <w:rsid w:val="002C2D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2A0"/>
    <w:pPr>
      <w:ind w:leftChars="400" w:left="840"/>
    </w:pPr>
  </w:style>
  <w:style w:type="paragraph" w:styleId="a4">
    <w:name w:val="header"/>
    <w:basedOn w:val="a"/>
    <w:link w:val="a5"/>
    <w:uiPriority w:val="99"/>
    <w:unhideWhenUsed/>
    <w:rsid w:val="009E2CB8"/>
    <w:pPr>
      <w:tabs>
        <w:tab w:val="center" w:pos="4252"/>
        <w:tab w:val="right" w:pos="8504"/>
      </w:tabs>
      <w:snapToGrid w:val="0"/>
    </w:pPr>
  </w:style>
  <w:style w:type="character" w:customStyle="1" w:styleId="a5">
    <w:name w:val="ヘッダー (文字)"/>
    <w:basedOn w:val="a0"/>
    <w:link w:val="a4"/>
    <w:uiPriority w:val="99"/>
    <w:rsid w:val="009E2CB8"/>
  </w:style>
  <w:style w:type="paragraph" w:styleId="a6">
    <w:name w:val="footer"/>
    <w:basedOn w:val="a"/>
    <w:link w:val="a7"/>
    <w:uiPriority w:val="99"/>
    <w:unhideWhenUsed/>
    <w:rsid w:val="009E2CB8"/>
    <w:pPr>
      <w:tabs>
        <w:tab w:val="center" w:pos="4252"/>
        <w:tab w:val="right" w:pos="8504"/>
      </w:tabs>
      <w:snapToGrid w:val="0"/>
    </w:pPr>
  </w:style>
  <w:style w:type="character" w:customStyle="1" w:styleId="a7">
    <w:name w:val="フッター (文字)"/>
    <w:basedOn w:val="a0"/>
    <w:link w:val="a6"/>
    <w:uiPriority w:val="99"/>
    <w:rsid w:val="009E2CB8"/>
  </w:style>
  <w:style w:type="paragraph" w:styleId="a8">
    <w:name w:val="footnote text"/>
    <w:basedOn w:val="a"/>
    <w:link w:val="a9"/>
    <w:uiPriority w:val="99"/>
    <w:unhideWhenUsed/>
    <w:rsid w:val="002C2D83"/>
    <w:pPr>
      <w:snapToGrid w:val="0"/>
      <w:jc w:val="left"/>
    </w:pPr>
    <w:rPr>
      <w:rFonts w:ascii="Century" w:eastAsia="ＭＳ 明朝" w:hAnsi="Century" w:cs="Century"/>
      <w:szCs w:val="21"/>
    </w:rPr>
  </w:style>
  <w:style w:type="character" w:customStyle="1" w:styleId="a9">
    <w:name w:val="脚注文字列 (文字)"/>
    <w:basedOn w:val="a0"/>
    <w:link w:val="a8"/>
    <w:uiPriority w:val="99"/>
    <w:rsid w:val="002C2D83"/>
    <w:rPr>
      <w:rFonts w:ascii="Century" w:eastAsia="ＭＳ 明朝" w:hAnsi="Century" w:cs="Century"/>
      <w:szCs w:val="21"/>
    </w:rPr>
  </w:style>
  <w:style w:type="character" w:styleId="aa">
    <w:name w:val="footnote reference"/>
    <w:basedOn w:val="a0"/>
    <w:uiPriority w:val="99"/>
    <w:semiHidden/>
    <w:unhideWhenUsed/>
    <w:rsid w:val="002C2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9544">
      <w:bodyDiv w:val="1"/>
      <w:marLeft w:val="0"/>
      <w:marRight w:val="0"/>
      <w:marTop w:val="0"/>
      <w:marBottom w:val="0"/>
      <w:divBdr>
        <w:top w:val="none" w:sz="0" w:space="0" w:color="auto"/>
        <w:left w:val="none" w:sz="0" w:space="0" w:color="auto"/>
        <w:bottom w:val="none" w:sz="0" w:space="0" w:color="auto"/>
        <w:right w:val="none" w:sz="0" w:space="0" w:color="auto"/>
      </w:divBdr>
      <w:divsChild>
        <w:div w:id="352148550">
          <w:marLeft w:val="547"/>
          <w:marRight w:val="0"/>
          <w:marTop w:val="86"/>
          <w:marBottom w:val="0"/>
          <w:divBdr>
            <w:top w:val="none" w:sz="0" w:space="0" w:color="auto"/>
            <w:left w:val="none" w:sz="0" w:space="0" w:color="auto"/>
            <w:bottom w:val="none" w:sz="0" w:space="0" w:color="auto"/>
            <w:right w:val="none" w:sz="0" w:space="0" w:color="auto"/>
          </w:divBdr>
        </w:div>
        <w:div w:id="741175491">
          <w:marLeft w:val="547"/>
          <w:marRight w:val="0"/>
          <w:marTop w:val="86"/>
          <w:marBottom w:val="0"/>
          <w:divBdr>
            <w:top w:val="none" w:sz="0" w:space="0" w:color="auto"/>
            <w:left w:val="none" w:sz="0" w:space="0" w:color="auto"/>
            <w:bottom w:val="none" w:sz="0" w:space="0" w:color="auto"/>
            <w:right w:val="none" w:sz="0" w:space="0" w:color="auto"/>
          </w:divBdr>
        </w:div>
      </w:divsChild>
    </w:div>
    <w:div w:id="986478106">
      <w:bodyDiv w:val="1"/>
      <w:marLeft w:val="0"/>
      <w:marRight w:val="0"/>
      <w:marTop w:val="0"/>
      <w:marBottom w:val="0"/>
      <w:divBdr>
        <w:top w:val="none" w:sz="0" w:space="0" w:color="auto"/>
        <w:left w:val="none" w:sz="0" w:space="0" w:color="auto"/>
        <w:bottom w:val="none" w:sz="0" w:space="0" w:color="auto"/>
        <w:right w:val="none" w:sz="0" w:space="0" w:color="auto"/>
      </w:divBdr>
    </w:div>
    <w:div w:id="1296638547">
      <w:bodyDiv w:val="1"/>
      <w:marLeft w:val="0"/>
      <w:marRight w:val="0"/>
      <w:marTop w:val="0"/>
      <w:marBottom w:val="0"/>
      <w:divBdr>
        <w:top w:val="none" w:sz="0" w:space="0" w:color="auto"/>
        <w:left w:val="none" w:sz="0" w:space="0" w:color="auto"/>
        <w:bottom w:val="none" w:sz="0" w:space="0" w:color="auto"/>
        <w:right w:val="none" w:sz="0" w:space="0" w:color="auto"/>
      </w:divBdr>
      <w:divsChild>
        <w:div w:id="97912078">
          <w:marLeft w:val="806"/>
          <w:marRight w:val="0"/>
          <w:marTop w:val="154"/>
          <w:marBottom w:val="0"/>
          <w:divBdr>
            <w:top w:val="none" w:sz="0" w:space="0" w:color="auto"/>
            <w:left w:val="none" w:sz="0" w:space="0" w:color="auto"/>
            <w:bottom w:val="none" w:sz="0" w:space="0" w:color="auto"/>
            <w:right w:val="none" w:sz="0" w:space="0" w:color="auto"/>
          </w:divBdr>
        </w:div>
        <w:div w:id="1194878950">
          <w:marLeft w:val="806"/>
          <w:marRight w:val="0"/>
          <w:marTop w:val="154"/>
          <w:marBottom w:val="0"/>
          <w:divBdr>
            <w:top w:val="none" w:sz="0" w:space="0" w:color="auto"/>
            <w:left w:val="none" w:sz="0" w:space="0" w:color="auto"/>
            <w:bottom w:val="none" w:sz="0" w:space="0" w:color="auto"/>
            <w:right w:val="none" w:sz="0" w:space="0" w:color="auto"/>
          </w:divBdr>
        </w:div>
        <w:div w:id="1268386285">
          <w:marLeft w:val="806"/>
          <w:marRight w:val="0"/>
          <w:marTop w:val="154"/>
          <w:marBottom w:val="0"/>
          <w:divBdr>
            <w:top w:val="none" w:sz="0" w:space="0" w:color="auto"/>
            <w:left w:val="none" w:sz="0" w:space="0" w:color="auto"/>
            <w:bottom w:val="none" w:sz="0" w:space="0" w:color="auto"/>
            <w:right w:val="none" w:sz="0" w:space="0" w:color="auto"/>
          </w:divBdr>
        </w:div>
        <w:div w:id="141701963">
          <w:marLeft w:val="806"/>
          <w:marRight w:val="0"/>
          <w:marTop w:val="154"/>
          <w:marBottom w:val="0"/>
          <w:divBdr>
            <w:top w:val="none" w:sz="0" w:space="0" w:color="auto"/>
            <w:left w:val="none" w:sz="0" w:space="0" w:color="auto"/>
            <w:bottom w:val="none" w:sz="0" w:space="0" w:color="auto"/>
            <w:right w:val="none" w:sz="0" w:space="0" w:color="auto"/>
          </w:divBdr>
        </w:div>
        <w:div w:id="1850678986">
          <w:marLeft w:val="806"/>
          <w:marRight w:val="0"/>
          <w:marTop w:val="154"/>
          <w:marBottom w:val="0"/>
          <w:divBdr>
            <w:top w:val="none" w:sz="0" w:space="0" w:color="auto"/>
            <w:left w:val="none" w:sz="0" w:space="0" w:color="auto"/>
            <w:bottom w:val="none" w:sz="0" w:space="0" w:color="auto"/>
            <w:right w:val="none" w:sz="0" w:space="0" w:color="auto"/>
          </w:divBdr>
        </w:div>
        <w:div w:id="1550142466">
          <w:marLeft w:val="806"/>
          <w:marRight w:val="0"/>
          <w:marTop w:val="154"/>
          <w:marBottom w:val="0"/>
          <w:divBdr>
            <w:top w:val="none" w:sz="0" w:space="0" w:color="auto"/>
            <w:left w:val="none" w:sz="0" w:space="0" w:color="auto"/>
            <w:bottom w:val="none" w:sz="0" w:space="0" w:color="auto"/>
            <w:right w:val="none" w:sz="0" w:space="0" w:color="auto"/>
          </w:divBdr>
        </w:div>
        <w:div w:id="1648168389">
          <w:marLeft w:val="90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dc:creator>
  <cp:keywords/>
  <dc:description/>
  <cp:lastModifiedBy>Bordeaux</cp:lastModifiedBy>
  <cp:revision>9</cp:revision>
  <dcterms:created xsi:type="dcterms:W3CDTF">2018-07-03T05:57:00Z</dcterms:created>
  <dcterms:modified xsi:type="dcterms:W3CDTF">2018-07-04T13:24:00Z</dcterms:modified>
</cp:coreProperties>
</file>